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97" w:type="dxa"/>
        <w:tblInd w:w="30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0"/>
        <w:gridCol w:w="2835"/>
      </w:tblGrid>
      <w:tr w:rsidR="00B44580" w14:paraId="0DFDCCEC" w14:textId="77777777" w:rsidTr="002C3CD3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502E914" w14:textId="77777777" w:rsidR="00B44580" w:rsidRPr="001A28C3" w:rsidRDefault="00B44580" w:rsidP="00B44580">
            <w:pPr>
              <w:pStyle w:val="FieldContent"/>
            </w:pPr>
            <w:r w:rsidRPr="001A28C3">
              <w:t>Registered name of Company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B4A1D9" w14:textId="77777777" w:rsidR="00B44580" w:rsidRDefault="00B44580" w:rsidP="00B44580">
            <w:r w:rsidRPr="00047D1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47D1F">
              <w:rPr>
                <w:sz w:val="18"/>
                <w:szCs w:val="18"/>
              </w:rPr>
              <w:instrText xml:space="preserve"> FORMTEXT </w:instrText>
            </w:r>
            <w:r w:rsidRPr="00047D1F">
              <w:rPr>
                <w:b/>
                <w:sz w:val="18"/>
                <w:szCs w:val="18"/>
              </w:rPr>
            </w:r>
            <w:r w:rsidRPr="00047D1F">
              <w:rPr>
                <w:b/>
                <w:sz w:val="18"/>
                <w:szCs w:val="18"/>
              </w:rPr>
              <w:fldChar w:fldCharType="separate"/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BB1C5CB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049A5290" w14:textId="77777777" w:rsidTr="002C3CD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CAB3AD8" w14:textId="77777777" w:rsidR="00B44580" w:rsidRPr="001A28C3" w:rsidRDefault="00B44580" w:rsidP="00B44580">
            <w:pPr>
              <w:pStyle w:val="FieldContent"/>
            </w:pPr>
            <w:r w:rsidRPr="001A28C3">
              <w:t>Former registered names</w:t>
            </w:r>
          </w:p>
        </w:tc>
        <w:tc>
          <w:tcPr>
            <w:tcW w:w="5180" w:type="dxa"/>
            <w:tcBorders>
              <w:left w:val="nil"/>
              <w:right w:val="nil"/>
            </w:tcBorders>
          </w:tcPr>
          <w:p w14:paraId="2FFD6AC1" w14:textId="77777777" w:rsidR="00B44580" w:rsidRDefault="00B44580" w:rsidP="00B44580">
            <w:r w:rsidRPr="00047D1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47D1F">
              <w:rPr>
                <w:sz w:val="18"/>
                <w:szCs w:val="18"/>
              </w:rPr>
              <w:instrText xml:space="preserve"> FORMTEXT </w:instrText>
            </w:r>
            <w:r w:rsidRPr="00047D1F">
              <w:rPr>
                <w:b/>
                <w:sz w:val="18"/>
                <w:szCs w:val="18"/>
              </w:rPr>
            </w:r>
            <w:r w:rsidRPr="00047D1F">
              <w:rPr>
                <w:b/>
                <w:sz w:val="18"/>
                <w:szCs w:val="18"/>
              </w:rPr>
              <w:fldChar w:fldCharType="separate"/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7F53260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B44580" w14:paraId="65137CD7" w14:textId="77777777" w:rsidTr="002C3CD3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2F5E0EF1" w14:textId="77777777" w:rsidR="00B44580" w:rsidRPr="001A28C3" w:rsidRDefault="00B44580" w:rsidP="00B44580">
            <w:pPr>
              <w:pStyle w:val="FieldContent"/>
            </w:pPr>
            <w:r w:rsidRPr="001A28C3">
              <w:t>Trading names or styles</w:t>
            </w:r>
          </w:p>
        </w:tc>
        <w:tc>
          <w:tcPr>
            <w:tcW w:w="5180" w:type="dxa"/>
            <w:tcBorders>
              <w:left w:val="nil"/>
              <w:bottom w:val="single" w:sz="4" w:space="0" w:color="808080"/>
              <w:right w:val="nil"/>
            </w:tcBorders>
          </w:tcPr>
          <w:p w14:paraId="467008F8" w14:textId="77777777" w:rsidR="00B44580" w:rsidRDefault="00B44580" w:rsidP="00B44580">
            <w:r w:rsidRPr="00047D1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47D1F">
              <w:rPr>
                <w:sz w:val="18"/>
                <w:szCs w:val="18"/>
              </w:rPr>
              <w:instrText xml:space="preserve"> FORMTEXT </w:instrText>
            </w:r>
            <w:r w:rsidRPr="00047D1F">
              <w:rPr>
                <w:b/>
                <w:sz w:val="18"/>
                <w:szCs w:val="18"/>
              </w:rPr>
            </w:r>
            <w:r w:rsidRPr="00047D1F">
              <w:rPr>
                <w:b/>
                <w:sz w:val="18"/>
                <w:szCs w:val="18"/>
              </w:rPr>
              <w:fldChar w:fldCharType="separate"/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314EEA1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B44580" w14:paraId="5ED14DF9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A92297" w14:textId="77777777" w:rsidR="00B44580" w:rsidRPr="001A28C3" w:rsidRDefault="00B44580" w:rsidP="00B44580">
            <w:pPr>
              <w:pStyle w:val="FieldContent"/>
            </w:pPr>
            <w:r w:rsidRPr="001A28C3">
              <w:t>Registered number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A0D691" w14:textId="77777777" w:rsidR="00B44580" w:rsidRDefault="00B44580" w:rsidP="00B44580">
            <w:r w:rsidRPr="00047D1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47D1F">
              <w:rPr>
                <w:sz w:val="18"/>
                <w:szCs w:val="18"/>
              </w:rPr>
              <w:instrText xml:space="preserve"> FORMTEXT </w:instrText>
            </w:r>
            <w:r w:rsidRPr="00047D1F">
              <w:rPr>
                <w:b/>
                <w:sz w:val="18"/>
                <w:szCs w:val="18"/>
              </w:rPr>
            </w:r>
            <w:r w:rsidRPr="00047D1F">
              <w:rPr>
                <w:b/>
                <w:sz w:val="18"/>
                <w:szCs w:val="18"/>
              </w:rPr>
              <w:fldChar w:fldCharType="separate"/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545F1B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0A7A08DD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A92805" w14:textId="77777777" w:rsidR="00B44580" w:rsidRPr="001A28C3" w:rsidRDefault="00B44580" w:rsidP="00B44580">
            <w:pPr>
              <w:pStyle w:val="FieldContent"/>
            </w:pPr>
            <w:r w:rsidRPr="001A28C3">
              <w:t>Registered office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710422" w14:textId="77777777" w:rsidR="00B44580" w:rsidRDefault="00B44580" w:rsidP="00B44580">
            <w:r w:rsidRPr="00047D1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47D1F">
              <w:rPr>
                <w:sz w:val="18"/>
                <w:szCs w:val="18"/>
              </w:rPr>
              <w:instrText xml:space="preserve"> FORMTEXT </w:instrText>
            </w:r>
            <w:r w:rsidRPr="00047D1F">
              <w:rPr>
                <w:b/>
                <w:sz w:val="18"/>
                <w:szCs w:val="18"/>
              </w:rPr>
            </w:r>
            <w:r w:rsidRPr="00047D1F">
              <w:rPr>
                <w:b/>
                <w:sz w:val="18"/>
                <w:szCs w:val="18"/>
              </w:rPr>
              <w:fldChar w:fldCharType="separate"/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CB86EA8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5A9014CB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6B2B3FF" w14:textId="77777777" w:rsidR="00B44580" w:rsidRPr="001A28C3" w:rsidRDefault="00B44580" w:rsidP="00B44580">
            <w:pPr>
              <w:pStyle w:val="FieldContent"/>
            </w:pPr>
            <w:r w:rsidRPr="001A28C3">
              <w:t>Principal trading address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AFE979" w14:textId="77777777" w:rsidR="00B44580" w:rsidRDefault="00B44580" w:rsidP="00B44580">
            <w:r w:rsidRPr="00047D1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47D1F">
              <w:rPr>
                <w:sz w:val="18"/>
                <w:szCs w:val="18"/>
              </w:rPr>
              <w:instrText xml:space="preserve"> FORMTEXT </w:instrText>
            </w:r>
            <w:r w:rsidRPr="00047D1F">
              <w:rPr>
                <w:b/>
                <w:sz w:val="18"/>
                <w:szCs w:val="18"/>
              </w:rPr>
            </w:r>
            <w:r w:rsidRPr="00047D1F">
              <w:rPr>
                <w:b/>
                <w:sz w:val="18"/>
                <w:szCs w:val="18"/>
              </w:rPr>
              <w:fldChar w:fldCharType="separate"/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noProof/>
                <w:sz w:val="18"/>
                <w:szCs w:val="18"/>
              </w:rPr>
              <w:t> </w:t>
            </w:r>
            <w:r w:rsidRPr="00047D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79C8466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1371E0" w14:paraId="16B59453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47AA47C" w14:textId="77777777" w:rsidR="001371E0" w:rsidRPr="001A28C3" w:rsidRDefault="001371E0" w:rsidP="001371E0">
            <w:pPr>
              <w:pStyle w:val="FieldContent"/>
            </w:pPr>
            <w:r>
              <w:t>Last Date for Claims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0502BC" w14:textId="77777777" w:rsidR="001371E0" w:rsidRPr="00047D1F" w:rsidRDefault="001371E0" w:rsidP="00B44580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B46D065" w14:textId="77777777" w:rsidR="001371E0" w:rsidRDefault="001371E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1371E0" w14:paraId="7FBA904E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F0801B4" w14:textId="77777777" w:rsidR="001371E0" w:rsidRDefault="001371E0" w:rsidP="001371E0">
            <w:pPr>
              <w:pStyle w:val="FieldContent"/>
            </w:pPr>
            <w:r>
              <w:t>Address for Claims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1363029" w14:textId="77777777" w:rsidR="001371E0" w:rsidRPr="00047D1F" w:rsidRDefault="001371E0" w:rsidP="00B44580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E2393D" w14:textId="77777777" w:rsidR="001371E0" w:rsidRDefault="001371E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488BA3D0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33F000D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1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F1D0C3" w14:textId="77777777" w:rsidR="00B44580" w:rsidRPr="00453692" w:rsidRDefault="00B44580" w:rsidP="00B44580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1E27ABE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6EFF0AF5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01845C5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2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E395CED" w14:textId="77777777" w:rsidR="00B44580" w:rsidRPr="00453692" w:rsidRDefault="00B44580" w:rsidP="00B44580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9AEB913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1FB85A3F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5438E9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3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182FAA" w14:textId="77777777" w:rsidR="00B44580" w:rsidRPr="00453692" w:rsidRDefault="00B44580" w:rsidP="00B44580">
            <w:pPr>
              <w:pStyle w:val="FieldContent"/>
              <w:rPr>
                <w:b/>
                <w:sz w:val="18"/>
                <w:szCs w:val="18"/>
              </w:rPr>
            </w:pPr>
            <w:r w:rsidRPr="0045369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53692">
              <w:rPr>
                <w:sz w:val="18"/>
                <w:szCs w:val="18"/>
              </w:rPr>
              <w:instrText xml:space="preserve"> FORMTEXT </w:instrText>
            </w:r>
            <w:r w:rsidRPr="00453692">
              <w:rPr>
                <w:b/>
                <w:sz w:val="18"/>
                <w:szCs w:val="18"/>
              </w:rPr>
            </w:r>
            <w:r w:rsidRPr="00453692">
              <w:rPr>
                <w:b/>
                <w:sz w:val="18"/>
                <w:szCs w:val="18"/>
              </w:rPr>
              <w:fldChar w:fldCharType="separate"/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b/>
                <w:sz w:val="18"/>
                <w:szCs w:val="18"/>
              </w:rPr>
              <w:fldChar w:fldCharType="end"/>
            </w:r>
            <w:r w:rsidRPr="00453692">
              <w:rPr>
                <w:sz w:val="18"/>
                <w:szCs w:val="18"/>
              </w:rPr>
              <w:t xml:space="preserve">  (IP No. </w:t>
            </w:r>
            <w:r w:rsidRPr="00453692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453692">
              <w:rPr>
                <w:sz w:val="18"/>
                <w:szCs w:val="18"/>
              </w:rPr>
              <w:instrText xml:space="preserve"> FORMTEXT </w:instrText>
            </w:r>
            <w:r w:rsidRPr="00453692">
              <w:rPr>
                <w:b/>
                <w:sz w:val="18"/>
                <w:szCs w:val="18"/>
              </w:rPr>
            </w:r>
            <w:r w:rsidRPr="00453692">
              <w:rPr>
                <w:b/>
                <w:sz w:val="18"/>
                <w:szCs w:val="18"/>
              </w:rPr>
              <w:fldChar w:fldCharType="separate"/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b/>
                <w:sz w:val="18"/>
                <w:szCs w:val="18"/>
              </w:rPr>
              <w:fldChar w:fldCharType="end"/>
            </w:r>
            <w:r w:rsidRPr="00453692">
              <w:rPr>
                <w:sz w:val="18"/>
                <w:szCs w:val="18"/>
              </w:rPr>
              <w:t xml:space="preserve">), </w:t>
            </w:r>
            <w:r w:rsidRPr="0045369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453692">
              <w:rPr>
                <w:sz w:val="18"/>
                <w:szCs w:val="18"/>
              </w:rPr>
              <w:instrText xml:space="preserve"> FORMTEXT </w:instrText>
            </w:r>
            <w:r w:rsidRPr="00453692">
              <w:rPr>
                <w:b/>
                <w:sz w:val="18"/>
                <w:szCs w:val="18"/>
              </w:rPr>
            </w:r>
            <w:r w:rsidRPr="00453692">
              <w:rPr>
                <w:b/>
                <w:sz w:val="18"/>
                <w:szCs w:val="18"/>
              </w:rPr>
              <w:fldChar w:fldCharType="separate"/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noProof/>
                <w:sz w:val="18"/>
                <w:szCs w:val="18"/>
              </w:rPr>
              <w:t> </w:t>
            </w:r>
            <w:r w:rsidRPr="004536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E9719D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1D8197C5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E6ADDED" w14:textId="77777777" w:rsidR="00B44580" w:rsidRPr="001A28C3" w:rsidRDefault="00B44580" w:rsidP="00B44580">
            <w:pPr>
              <w:pStyle w:val="FieldContent"/>
            </w:pPr>
            <w:r w:rsidRPr="001A28C3">
              <w:t>E-mail address or telephone number for contact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D0D265" w14:textId="77777777" w:rsidR="00B44580" w:rsidRPr="00D32BD9" w:rsidRDefault="00B44580" w:rsidP="00B44580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A244BED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29EFF22D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FA81DC9" w14:textId="77777777" w:rsidR="00B44580" w:rsidRPr="001A28C3" w:rsidRDefault="00B44580" w:rsidP="00B44580">
            <w:pPr>
              <w:pStyle w:val="FieldContent"/>
            </w:pPr>
            <w:r w:rsidRPr="001A28C3">
              <w:t>Alternative person to contact with enquiries about the case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F8B6ADB" w14:textId="77777777" w:rsidR="00B44580" w:rsidRPr="00D32BD9" w:rsidRDefault="00B44580" w:rsidP="00B44580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28F2E4C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43AB3901" w14:textId="77777777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52A76A5" w14:textId="77777777" w:rsidR="00B44580" w:rsidRPr="001A28C3" w:rsidRDefault="00B44580" w:rsidP="00B44580">
            <w:pPr>
              <w:pStyle w:val="FieldContent"/>
            </w:pPr>
            <w:r w:rsidRPr="001A28C3">
              <w:t>Standard Advert Wording</w:t>
            </w:r>
          </w:p>
        </w:tc>
        <w:tc>
          <w:tcPr>
            <w:tcW w:w="80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9169106" w14:textId="77777777" w:rsidR="002C3CD3" w:rsidRPr="002C3CD3" w:rsidRDefault="002C3CD3" w:rsidP="002C3C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Trebuchet MS" w:hAnsi="Trebuchet MS" w:cs="Arial"/>
                <w:sz w:val="20"/>
                <w:szCs w:val="20"/>
              </w:rPr>
            </w:pPr>
            <w:r w:rsidRPr="002C3CD3">
              <w:rPr>
                <w:rStyle w:val="Strong"/>
                <w:rFonts w:ascii="Trebuchet MS" w:hAnsi="Trebuchet MS" w:cs="Arial"/>
                <w:sz w:val="20"/>
                <w:szCs w:val="20"/>
              </w:rPr>
              <w:t>NOTICE IS HEREBY GIVEN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that the </w:t>
            </w:r>
            <w:r>
              <w:rPr>
                <w:rFonts w:ascii="Trebuchet MS" w:hAnsi="Trebuchet MS" w:cs="Arial"/>
                <w:sz w:val="20"/>
                <w:szCs w:val="20"/>
              </w:rPr>
              <w:t>Liquidator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of the Company intend</w:t>
            </w:r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to make a </w:t>
            </w:r>
            <w:r w:rsidR="00542B5A">
              <w:rPr>
                <w:rFonts w:ascii="Trebuchet MS" w:hAnsi="Trebuchet MS" w:cs="Arial"/>
                <w:sz w:val="20"/>
                <w:szCs w:val="20"/>
              </w:rPr>
              <w:t xml:space="preserve">first and 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final distribution to creditors. Creditors are required to prove their debts on or before </w:t>
            </w:r>
            <w:r>
              <w:rPr>
                <w:rFonts w:ascii="Trebuchet MS" w:hAnsi="Trebuchet MS" w:cs="Arial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Last_Date_For_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Claims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} 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by sending full details of their claims to 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Liquidator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at</w:t>
            </w:r>
            <w:r w:rsidRPr="002C3CD3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> </w:t>
            </w:r>
            <w:r>
              <w:rPr>
                <w:rStyle w:val="Strong"/>
                <w:rFonts w:ascii="Trebuchet MS" w:hAnsi="Trebuchet MS" w:cs="Arial"/>
                <w:sz w:val="20"/>
                <w:szCs w:val="20"/>
              </w:rPr>
              <w:t>{</w:t>
            </w:r>
            <w:proofErr w:type="spellStart"/>
            <w:r>
              <w:rPr>
                <w:rStyle w:val="Strong"/>
                <w:rFonts w:ascii="Trebuchet MS" w:hAnsi="Trebuchet MS" w:cs="Arial"/>
                <w:sz w:val="20"/>
                <w:szCs w:val="20"/>
              </w:rPr>
              <w:t>Address</w:t>
            </w:r>
            <w:r w:rsidR="001371E0">
              <w:rPr>
                <w:rStyle w:val="Strong"/>
                <w:rFonts w:ascii="Trebuchet MS" w:hAnsi="Trebuchet MS" w:cs="Arial"/>
                <w:sz w:val="20"/>
                <w:szCs w:val="20"/>
              </w:rPr>
              <w:t>_For_Claims</w:t>
            </w:r>
            <w:proofErr w:type="spellEnd"/>
            <w:r>
              <w:rPr>
                <w:rStyle w:val="Strong"/>
                <w:rFonts w:ascii="Trebuchet MS" w:hAnsi="Trebuchet MS" w:cs="Arial"/>
                <w:sz w:val="20"/>
                <w:szCs w:val="20"/>
              </w:rPr>
              <w:t>}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. Creditors must also, if so requested by the 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Liquidator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, provide such further details and documentary evidence to support their claims as the 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Liquidator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deem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necessary.</w:t>
            </w:r>
          </w:p>
          <w:p w14:paraId="71C68166" w14:textId="77777777" w:rsidR="002C3CD3" w:rsidRPr="002C3CD3" w:rsidRDefault="002C3CD3" w:rsidP="002C3C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Trebuchet MS" w:hAnsi="Trebuchet MS" w:cs="Arial"/>
                <w:sz w:val="20"/>
                <w:szCs w:val="20"/>
              </w:rPr>
            </w:pPr>
            <w:r w:rsidRPr="002C3CD3">
              <w:rPr>
                <w:rFonts w:ascii="Trebuchet MS" w:hAnsi="Trebuchet MS" w:cs="Arial"/>
                <w:sz w:val="20"/>
                <w:szCs w:val="20"/>
              </w:rPr>
              <w:t>The intended distribution is a</w:t>
            </w:r>
            <w:r w:rsidR="00542B5A">
              <w:rPr>
                <w:rFonts w:ascii="Trebuchet MS" w:hAnsi="Trebuchet MS" w:cs="Arial"/>
                <w:sz w:val="20"/>
                <w:szCs w:val="20"/>
              </w:rPr>
              <w:t xml:space="preserve"> first and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final distribution and may be made without regard to any claims not proved by 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{</w:t>
            </w:r>
            <w:proofErr w:type="spellStart"/>
            <w:r w:rsidR="001371E0">
              <w:rPr>
                <w:rFonts w:ascii="Trebuchet MS" w:hAnsi="Trebuchet MS" w:cs="Arial"/>
                <w:sz w:val="20"/>
                <w:szCs w:val="20"/>
              </w:rPr>
              <w:t>Last_Date_For_Claims</w:t>
            </w:r>
            <w:proofErr w:type="spellEnd"/>
            <w:r w:rsidR="001371E0">
              <w:rPr>
                <w:rFonts w:ascii="Trebuchet MS" w:hAnsi="Trebuchet MS" w:cs="Arial"/>
                <w:sz w:val="20"/>
                <w:szCs w:val="20"/>
              </w:rPr>
              <w:t>}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>. Any creditor who has not proved his debt by that date, or who increases the claim in his proof after that date, will not be entitled to disturb the intended</w:t>
            </w:r>
            <w:r w:rsidR="00542B5A">
              <w:rPr>
                <w:rFonts w:ascii="Trebuchet MS" w:hAnsi="Trebuchet MS" w:cs="Arial"/>
                <w:sz w:val="20"/>
                <w:szCs w:val="20"/>
              </w:rPr>
              <w:t xml:space="preserve"> first and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final distribution. The 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Liquidator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intend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that, after paying or providing for a</w:t>
            </w:r>
            <w:r w:rsidR="00542B5A">
              <w:rPr>
                <w:rFonts w:ascii="Trebuchet MS" w:hAnsi="Trebuchet MS" w:cs="Arial"/>
                <w:sz w:val="20"/>
                <w:szCs w:val="20"/>
              </w:rPr>
              <w:t xml:space="preserve"> first and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final distribution in respect of creditors who have proved their claims, all funds remaining in the Liquidator</w:t>
            </w:r>
            <w:r w:rsidR="001371E0">
              <w:rPr>
                <w:rFonts w:ascii="Trebuchet MS" w:hAnsi="Trebuchet MS" w:cs="Arial"/>
                <w:sz w:val="20"/>
                <w:szCs w:val="20"/>
              </w:rPr>
              <w:t>’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>s hands following the</w:t>
            </w:r>
            <w:r w:rsidR="00542B5A">
              <w:rPr>
                <w:rFonts w:ascii="Trebuchet MS" w:hAnsi="Trebuchet MS" w:cs="Arial"/>
                <w:sz w:val="20"/>
                <w:szCs w:val="20"/>
              </w:rPr>
              <w:t xml:space="preserve"> first and</w:t>
            </w:r>
            <w:r w:rsidRPr="002C3CD3">
              <w:rPr>
                <w:rFonts w:ascii="Trebuchet MS" w:hAnsi="Trebuchet MS" w:cs="Arial"/>
                <w:sz w:val="20"/>
                <w:szCs w:val="20"/>
              </w:rPr>
              <w:t xml:space="preserve"> final distribution to creditors shall be distributed to the shareholders of the Company absolutely.</w:t>
            </w:r>
          </w:p>
          <w:p w14:paraId="675F0762" w14:textId="77777777" w:rsidR="00B44580" w:rsidRPr="002C3CD3" w:rsidRDefault="002C3CD3" w:rsidP="002C3C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504F4F"/>
                <w:sz w:val="20"/>
                <w:szCs w:val="20"/>
              </w:rPr>
            </w:pPr>
            <w:r w:rsidRPr="002C3CD3">
              <w:rPr>
                <w:rFonts w:ascii="Trebuchet MS" w:hAnsi="Trebuchet MS" w:cs="Arial"/>
                <w:sz w:val="20"/>
                <w:szCs w:val="20"/>
              </w:rPr>
              <w:t>The Company is able to pay all its known liabilities in full.</w:t>
            </w:r>
          </w:p>
        </w:tc>
      </w:tr>
      <w:tr w:rsidR="00B44580" w:rsidRPr="00AB0E44" w14:paraId="3E7E67F6" w14:textId="77777777" w:rsidTr="002C3CD3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B6C59D" w14:textId="77777777" w:rsidR="00B44580" w:rsidRPr="001A28C3" w:rsidRDefault="00B44580" w:rsidP="00B44580">
            <w:pPr>
              <w:pStyle w:val="FieldContent"/>
            </w:pPr>
            <w:r w:rsidRPr="001A28C3">
              <w:t>Where is this notice to be published?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C7E13D" w14:textId="77777777" w:rsidR="00E11759" w:rsidRDefault="00E11759" w:rsidP="00E11759">
            <w:pPr>
              <w:pStyle w:val="FieldContent"/>
            </w:pPr>
            <w:r>
              <w:t>The Edinburgh Gazette</w:t>
            </w:r>
          </w:p>
          <w:p w14:paraId="3F18CCC2" w14:textId="77777777" w:rsidR="00B44580" w:rsidRPr="00016071" w:rsidRDefault="00E11759" w:rsidP="00E11759">
            <w:pPr>
              <w:pStyle w:val="FieldContent"/>
            </w:pPr>
            <w:r>
              <w:t>(if additional publicity required give details here)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740206" w14:textId="77777777" w:rsidR="00B44580" w:rsidRPr="00AB0E44" w:rsidRDefault="00B44580" w:rsidP="00B44580">
            <w:pPr>
              <w:pStyle w:val="FieldContent"/>
            </w:pPr>
          </w:p>
        </w:tc>
      </w:tr>
    </w:tbl>
    <w:p w14:paraId="126722A9" w14:textId="77777777" w:rsidR="00BB377E" w:rsidRPr="00664DE3" w:rsidRDefault="00BB377E" w:rsidP="00664DE3">
      <w:pPr>
        <w:tabs>
          <w:tab w:val="left" w:pos="7763"/>
        </w:tabs>
      </w:pPr>
    </w:p>
    <w:sectPr w:rsidR="00BB377E" w:rsidRPr="00664DE3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ED32" w14:textId="77777777" w:rsidR="004104BB" w:rsidRDefault="004104BB" w:rsidP="0043460B">
      <w:r>
        <w:separator/>
      </w:r>
    </w:p>
  </w:endnote>
  <w:endnote w:type="continuationSeparator" w:id="0">
    <w:p w14:paraId="685A6D96" w14:textId="77777777" w:rsidR="004104BB" w:rsidRDefault="004104B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B44580" w:rsidRPr="00377663" w14:paraId="2377F0CB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B36F35C" w14:textId="77777777" w:rsidR="00B44580" w:rsidRPr="00F82B11" w:rsidRDefault="00B44580" w:rsidP="002A7DAB">
          <w:pPr>
            <w:pStyle w:val="FtrContact"/>
            <w:rPr>
              <w:sz w:val="18"/>
            </w:rPr>
          </w:pPr>
          <w:r w:rsidRPr="00F82B11">
            <w:rPr>
              <w:b/>
              <w:sz w:val="18"/>
            </w:rPr>
            <w:t>E-mail</w:t>
          </w:r>
          <w:r w:rsidRPr="00F82B11">
            <w:rPr>
              <w:sz w:val="18"/>
            </w:rPr>
            <w:t xml:space="preserve"> to </w:t>
          </w:r>
          <w:r w:rsidR="00F82B11">
            <w:rPr>
              <w:b/>
              <w:sz w:val="18"/>
            </w:rPr>
            <w:t>statads@epe-reynell</w:t>
          </w:r>
          <w:r w:rsidRPr="00F82B11">
            <w:rPr>
              <w:b/>
              <w:sz w:val="18"/>
            </w:rPr>
            <w:t>.co.uk</w:t>
          </w:r>
        </w:p>
        <w:p w14:paraId="06230863" w14:textId="77777777" w:rsidR="00B44580" w:rsidRPr="00521F4D" w:rsidRDefault="00B44580" w:rsidP="002A7DAB">
          <w:pPr>
            <w:pStyle w:val="FtrContact"/>
          </w:pPr>
          <w:r w:rsidRPr="00F82B11">
            <w:rPr>
              <w:sz w:val="18"/>
            </w:rPr>
            <w:t xml:space="preserve">or </w:t>
          </w:r>
          <w:r w:rsidRPr="00F82B11">
            <w:rPr>
              <w:b/>
              <w:sz w:val="18"/>
            </w:rPr>
            <w:t>Fax</w:t>
          </w:r>
          <w:r w:rsidRPr="00F82B11">
            <w:rPr>
              <w:sz w:val="18"/>
            </w:rPr>
            <w:t xml:space="preserve"> to </w:t>
          </w:r>
          <w:r w:rsidR="00F82B11" w:rsidRPr="00F82B11">
            <w:rPr>
              <w:sz w:val="18"/>
            </w:rPr>
            <w:fldChar w:fldCharType="begin"/>
          </w:r>
          <w:r w:rsidR="00F82B11" w:rsidRPr="00F82B11">
            <w:rPr>
              <w:sz w:val="18"/>
            </w:rPr>
            <w:instrText xml:space="preserve"> DOCPROPERTY  TMPR_fax  \* MERGEFORMAT </w:instrText>
          </w:r>
          <w:r w:rsidR="00F82B11" w:rsidRPr="00F82B11">
            <w:rPr>
              <w:sz w:val="18"/>
            </w:rPr>
            <w:fldChar w:fldCharType="separate"/>
          </w:r>
          <w:r w:rsidRPr="00F82B11">
            <w:rPr>
              <w:b/>
              <w:sz w:val="18"/>
            </w:rPr>
            <w:t>020 8501 9739</w:t>
          </w:r>
          <w:r w:rsidR="00F82B11" w:rsidRPr="00F82B11">
            <w:rPr>
              <w:b/>
              <w:sz w:val="18"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0397209" w14:textId="77777777" w:rsidR="008C4BFF" w:rsidRDefault="008C4BFF" w:rsidP="008C4BF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11358251" w14:textId="77777777" w:rsidR="00B44580" w:rsidRPr="0000297B" w:rsidRDefault="00B44580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CD506F0" w14:textId="77777777" w:rsidR="00B44580" w:rsidRPr="00AF25BA" w:rsidRDefault="00F82B1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24FA7A8B" wp14:editId="383BEA28">
                <wp:extent cx="1862570" cy="342900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726" cy="345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4580" w:rsidRPr="00AE5541" w14:paraId="5AFD0295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B5D59C9" w14:textId="77777777" w:rsidR="00B44580" w:rsidRPr="00FF0C1B" w:rsidRDefault="00B44580" w:rsidP="006D2A87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74A5D25" w14:textId="77777777" w:rsidR="00B44580" w:rsidRPr="00BD5108" w:rsidRDefault="00B44580" w:rsidP="0000297B">
          <w:pPr>
            <w:pStyle w:val="FtrSmlText"/>
            <w:rPr>
              <w:noProof/>
              <w:sz w:val="5"/>
              <w:szCs w:val="5"/>
            </w:rPr>
          </w:pPr>
        </w:p>
        <w:p w14:paraId="5AE42836" w14:textId="77777777" w:rsidR="00B44580" w:rsidRPr="005151CF" w:rsidRDefault="00B44580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DE77C4D" w14:textId="77777777" w:rsidR="00B44580" w:rsidRPr="005151CF" w:rsidRDefault="00B44580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4988A43" w14:textId="77777777" w:rsidR="00B44580" w:rsidRPr="00521F4D" w:rsidRDefault="00F82B11" w:rsidP="002A7DA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www.epe-</w:t>
          </w:r>
          <w:r w:rsidR="00B44580">
            <w:rPr>
              <w:b/>
            </w:rPr>
            <w:t>reynell.co.uk</w:t>
          </w:r>
        </w:p>
      </w:tc>
    </w:tr>
  </w:tbl>
  <w:p w14:paraId="3758EA97" w14:textId="77777777" w:rsidR="00B44580" w:rsidRPr="00B43663" w:rsidRDefault="00B44580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15AF" w14:textId="77777777" w:rsidR="004104BB" w:rsidRDefault="004104BB" w:rsidP="0043460B">
      <w:r>
        <w:separator/>
      </w:r>
    </w:p>
  </w:footnote>
  <w:footnote w:type="continuationSeparator" w:id="0">
    <w:p w14:paraId="0E39C53F" w14:textId="77777777" w:rsidR="004104BB" w:rsidRDefault="004104B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B44580" w14:paraId="07D934DC" w14:textId="77777777" w:rsidTr="00E11759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2AF74B69" w14:textId="77777777" w:rsidR="00B44580" w:rsidRPr="00E11C6B" w:rsidRDefault="00B44580" w:rsidP="00582A42">
          <w:pPr>
            <w:pStyle w:val="HdrInsProc"/>
          </w:pPr>
          <w:r w:rsidRPr="00F7548B">
            <w:t>Members' Voluntary Liquidation</w:t>
          </w:r>
        </w:p>
        <w:p w14:paraId="6C14B79C" w14:textId="77777777" w:rsidR="00B44580" w:rsidRPr="00E11C6B" w:rsidRDefault="00B44580" w:rsidP="002C3CD3">
          <w:pPr>
            <w:pStyle w:val="HdrNoticeTitle"/>
          </w:pPr>
          <w:r w:rsidRPr="00F7548B">
            <w:t xml:space="preserve">Notice of </w:t>
          </w:r>
          <w:r w:rsidR="002C3CD3">
            <w:t>Intended Final Distribution</w:t>
          </w:r>
          <w:r w:rsidR="001371E0">
            <w:fldChar w:fldCharType="begin"/>
          </w:r>
          <w:r w:rsidR="001371E0">
            <w:instrText xml:space="preserve"> TITLE   \* MERGEFORMAT </w:instrText>
          </w:r>
          <w:r w:rsidR="001371E0">
            <w:fldChar w:fldCharType="end"/>
          </w:r>
        </w:p>
      </w:tc>
      <w:tc>
        <w:tcPr>
          <w:tcW w:w="2835" w:type="dxa"/>
        </w:tcPr>
        <w:p w14:paraId="71D4CBE9" w14:textId="77777777" w:rsidR="00B44580" w:rsidRDefault="00F82B11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B44580">
            <w:rPr>
              <w:sz w:val="18"/>
              <w:szCs w:val="18"/>
            </w:rPr>
            <w:t xml:space="preserve"> </w:t>
          </w:r>
          <w:r w:rsidR="00B44580" w:rsidRPr="00A6100B">
            <w:rPr>
              <w:sz w:val="18"/>
              <w:szCs w:val="18"/>
            </w:rPr>
            <w:t xml:space="preserve">FORM   </w:t>
          </w:r>
          <w:r w:rsidR="002C3CD3">
            <w:rPr>
              <w:sz w:val="40"/>
              <w:szCs w:val="40"/>
            </w:rPr>
            <w:t>LM5</w:t>
          </w:r>
          <w:r w:rsidR="00B44580" w:rsidRPr="00F7548B">
            <w:rPr>
              <w:sz w:val="40"/>
              <w:szCs w:val="40"/>
            </w:rPr>
            <w:t>(Scot)</w:t>
          </w:r>
        </w:p>
        <w:p w14:paraId="0B9FADBF" w14:textId="77777777" w:rsidR="00B44580" w:rsidRPr="00A55EBE" w:rsidRDefault="00B44580" w:rsidP="00F7548B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Edinburgh Gazette or</w:t>
          </w:r>
          <w:r w:rsidRPr="00A55EBE">
            <w:t xml:space="preserve"> additional publicity</w:t>
          </w:r>
        </w:p>
      </w:tc>
    </w:tr>
    <w:tr w:rsidR="00B44580" w14:paraId="369C5740" w14:textId="77777777" w:rsidTr="00E11759">
      <w:tc>
        <w:tcPr>
          <w:tcW w:w="7570" w:type="dxa"/>
          <w:tcBorders>
            <w:top w:val="single" w:sz="4" w:space="0" w:color="000000"/>
          </w:tcBorders>
        </w:tcPr>
        <w:p w14:paraId="32CD7F70" w14:textId="77777777" w:rsidR="00B44580" w:rsidRPr="00E11C6B" w:rsidRDefault="00B44580" w:rsidP="00F7548B">
          <w:pPr>
            <w:pStyle w:val="HdrLgNotes"/>
            <w:spacing w:line="240" w:lineRule="auto"/>
            <w:rPr>
              <w:b w:val="0"/>
            </w:rPr>
          </w:pPr>
        </w:p>
      </w:tc>
      <w:tc>
        <w:tcPr>
          <w:tcW w:w="2835" w:type="dxa"/>
          <w:vAlign w:val="bottom"/>
        </w:tcPr>
        <w:p w14:paraId="109EC947" w14:textId="77777777" w:rsidR="00B44580" w:rsidRPr="00882D94" w:rsidRDefault="00B44580" w:rsidP="002C3CD3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2C3CD3">
            <w:rPr>
              <w:b/>
            </w:rPr>
            <w:t>06</w:t>
          </w:r>
          <w:r>
            <w:rPr>
              <w:b/>
            </w:rPr>
            <w:t>)</w:t>
          </w:r>
        </w:p>
      </w:tc>
    </w:tr>
  </w:tbl>
  <w:p w14:paraId="26CBFD68" w14:textId="77777777" w:rsidR="00B44580" w:rsidRDefault="00B44580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71E4"/>
    <w:rsid w:val="000709FB"/>
    <w:rsid w:val="000A266E"/>
    <w:rsid w:val="000A53BD"/>
    <w:rsid w:val="000B3303"/>
    <w:rsid w:val="000B7321"/>
    <w:rsid w:val="000C3DFB"/>
    <w:rsid w:val="000D660D"/>
    <w:rsid w:val="000D7976"/>
    <w:rsid w:val="000D7A86"/>
    <w:rsid w:val="000E2C3B"/>
    <w:rsid w:val="000F7B4C"/>
    <w:rsid w:val="001043B2"/>
    <w:rsid w:val="00112B1B"/>
    <w:rsid w:val="001313DF"/>
    <w:rsid w:val="001371E0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C3CD3"/>
    <w:rsid w:val="002E0D2E"/>
    <w:rsid w:val="002E121D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85B4E"/>
    <w:rsid w:val="003918FA"/>
    <w:rsid w:val="003A1C13"/>
    <w:rsid w:val="003A29EC"/>
    <w:rsid w:val="003C09E4"/>
    <w:rsid w:val="003C3E7B"/>
    <w:rsid w:val="003D58A3"/>
    <w:rsid w:val="003D766D"/>
    <w:rsid w:val="003E0FB7"/>
    <w:rsid w:val="003F0DEC"/>
    <w:rsid w:val="00401C67"/>
    <w:rsid w:val="004040F4"/>
    <w:rsid w:val="004104BB"/>
    <w:rsid w:val="00420565"/>
    <w:rsid w:val="00431544"/>
    <w:rsid w:val="00432464"/>
    <w:rsid w:val="0043460B"/>
    <w:rsid w:val="00452D48"/>
    <w:rsid w:val="00452F07"/>
    <w:rsid w:val="00463D28"/>
    <w:rsid w:val="0048242E"/>
    <w:rsid w:val="00493D0E"/>
    <w:rsid w:val="004A6722"/>
    <w:rsid w:val="004B0367"/>
    <w:rsid w:val="004B449A"/>
    <w:rsid w:val="004B6BB2"/>
    <w:rsid w:val="004C3172"/>
    <w:rsid w:val="004D45E8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42B5A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07B0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3810"/>
    <w:rsid w:val="008074D9"/>
    <w:rsid w:val="00810402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C4BFF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4580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443D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759"/>
    <w:rsid w:val="00E11C6B"/>
    <w:rsid w:val="00E1438D"/>
    <w:rsid w:val="00E2184D"/>
    <w:rsid w:val="00E21CD3"/>
    <w:rsid w:val="00E229EE"/>
    <w:rsid w:val="00E27DFD"/>
    <w:rsid w:val="00E329F9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2B11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5EFDEC3"/>
  <w15:docId w15:val="{53662CBC-DDB6-4919-B0F9-1EE9DE1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C3C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3CD3"/>
    <w:rPr>
      <w:b/>
      <w:bCs/>
    </w:rPr>
  </w:style>
  <w:style w:type="character" w:customStyle="1" w:styleId="apple-converted-space">
    <w:name w:val="apple-converted-space"/>
    <w:basedOn w:val="DefaultParagraphFont"/>
    <w:rsid w:val="002C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4</cp:revision>
  <cp:lastPrinted>2010-03-10T19:39:00Z</cp:lastPrinted>
  <dcterms:created xsi:type="dcterms:W3CDTF">2018-01-10T11:57:00Z</dcterms:created>
  <dcterms:modified xsi:type="dcterms:W3CDTF">2022-04-13T11:51:00Z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